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>
      <w:pPr>
        <w:jc w:val="center"/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广工大华立院学字〔2020〕0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号</w:t>
      </w:r>
    </w:p>
    <w:p>
      <w:bookmarkStart w:id="0" w:name="_GoBack"/>
      <w:bookmarkEnd w:id="0"/>
    </w:p>
    <w:p>
      <w:pPr>
        <w:pStyle w:val="2"/>
        <w:spacing w:line="480" w:lineRule="exact"/>
        <w:ind w:left="0" w:leftChars="0" w:right="476" w:firstLine="0" w:firstLineChars="0"/>
        <w:jc w:val="center"/>
        <w:rPr>
          <w:rFonts w:hint="eastAsia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/>
        </w:rPr>
        <w:t>关于开展2020届优秀毕业生评选活动的通知</w:t>
      </w:r>
    </w:p>
    <w:p>
      <w:pPr>
        <w:rPr>
          <w:rFonts w:hint="eastAsia" w:ascii="黑体" w:hAnsi="黑体" w:eastAsia="黑体" w:cs="黑体"/>
          <w:b/>
          <w:kern w:val="0"/>
          <w:sz w:val="44"/>
          <w:szCs w:val="44"/>
          <w:lang w:val="zh-CN" w:bidi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各部门：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为进一步加强校风学风建设，在2020届毕业生中挖掘优秀典型，充分发挥榜样引领作用，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决定开展2020届优秀毕业生评选活动，拟评选出一批优秀毕业生，现将有关事项通知如下：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一、评选对象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2020届毕业生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二、申请资格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热爱祖国，具有坚定正确的政治方向和立场，坚持四项基本原则，自觉拥护党和国家的路线、方针、政策；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遵守国家宪法、法律法规，遵守校纪校规，具有良好的道德品质和行为习惯，在校期间未受过处分，无不良的信用记录；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积极参加学生工作、志愿服务和社会实践活动，关心集体、团结同学、乐于奉献、责任感强、能起到模范带头作用，在学生中具有一定的影响力，师生评价较高。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三、申请条件（符合以下条件之一）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具有正确的就业观与择业观，积极参加“三支一扶”、“志愿服务西部服务计划”等国家基层就业项目，自愿赴西部、边远、贫困地区和艰苦行业就业；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响应国家号召，积极报名参加大学生入伍预征，自愿献身国防事业；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认真完成毕业设计及毕业答辩，毕业论文（设计）成绩为优秀；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校外分散教学期间表现突出，被评为优秀实习生；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学习勤奋，成绩优秀，文科平均绩点在3.0以上，理科平均绩点在2.5以上；</w:t>
      </w:r>
    </w:p>
    <w:p>
      <w:pPr>
        <w:spacing w:line="520" w:lineRule="exact"/>
        <w:ind w:firstLine="5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积极参加创新创业实践及学术文体活动，参加省级及以上各类大赛并取得优异成绩，或在有关重大活动中为学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争得荣誉。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四、评选办法和流程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个人申请。5月27日前，符合优秀毕业生评选条件的学生可向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</w:t>
      </w:r>
      <w:r>
        <w:rPr>
          <w:rFonts w:hint="eastAsia" w:ascii="仿宋" w:hAnsi="仿宋" w:eastAsia="仿宋" w:cs="仿宋"/>
          <w:sz w:val="32"/>
          <w:szCs w:val="32"/>
        </w:rPr>
        <w:t>学院提出申请并提交以下材料：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《广东工业大学华立学院2020届优秀毕业生申请审批表》（见附件1）一式三份，返校期间上交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成绩单，二级学院统一打印盖章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个人介绍材料（介绍事迹等，500字以上）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校级以上（不含学校） 获奖证书扫描件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工作或学习生活照5张（电子版、1M以上）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二级学院评选。各二级学院成立评审小组，按名额进行优秀毕业生评选。各二级学院优秀毕业生名额见下表：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</w:tc>
        <w:tc>
          <w:tcPr>
            <w:tcW w:w="380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城建学院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传媒与艺术设计学院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机电工程学院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计算机与信息工程学院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经贸与外语学院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0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80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111</w:t>
            </w:r>
          </w:p>
        </w:tc>
      </w:tr>
    </w:tbl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各二级学院评选出优秀毕业生初审名单需在二级学院范围内公示3天，公示无异议后，以二级学院为单位在6月3日将《广东工业大学华立学院2020届优秀毕业生汇总表》（见附件2）及个人申报材料报学生处。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学生处复审。学生处对报送的优秀毕业生推荐名单及其推荐材料进行复审。复审名单进行5天公示，确定优秀毕业生名单。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颁发荣誉证书。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五、申报材料提交方式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二级学院为单位报送，提交《广东工业大学华立学院2020届优秀毕业生汇总表》及个人申报材料（《广东工业大学华立学院2020届优秀毕业生审批表》、成绩单、个人介绍材料、获奖证书扫描件、工作生活照5张）。电子版材料发送至805492793@qq.com（邮件命名为“xx学院2020届优秀毕业生申报材料”）；纸质版材料（汇总表、申请审批表和成绩单）在返校后交至综合楼101学生处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六、工作要求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请各二级学院高度重视此项工作，坚持公平、公正、公开、择优的原则，评选出一批具有典型示范和引领作用的毕业生代表。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请各二级学院严格审查申报材料，杜绝弄虚作假，同时处理好公示期间学生的申述问题。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请各二级学院严格按照本学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制定的评选细则，在规定时间内完成优秀毕业生评选工作。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开展优秀毕业生宣传活动，营造良好学风校风。</w:t>
      </w:r>
    </w:p>
    <w:p>
      <w:pPr>
        <w:spacing w:line="520" w:lineRule="exact"/>
        <w:ind w:firstLine="645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七、其他说明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评选结果公示后，到毕业生离校前，有以下原因者撤销其“优秀毕业生”荣誉称号。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有违法、违规、违纪行为；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无法获得毕业证；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其它与本评审要求相违背的原因。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附件：1.广东工业大学华立学院2020届优秀毕业生申请审批表</w:t>
      </w:r>
    </w:p>
    <w:p>
      <w:pPr>
        <w:spacing w:line="520" w:lineRule="exact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2.广东工业大学华立学院2020届优秀毕业生汇总表</w:t>
      </w:r>
    </w:p>
    <w:p>
      <w:pPr>
        <w:spacing w:line="52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广东工业大学华立学院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559346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F1"/>
    <w:rsid w:val="000A578D"/>
    <w:rsid w:val="002457F1"/>
    <w:rsid w:val="002F196B"/>
    <w:rsid w:val="00453612"/>
    <w:rsid w:val="004867C9"/>
    <w:rsid w:val="004E0716"/>
    <w:rsid w:val="005100F0"/>
    <w:rsid w:val="008E3B0C"/>
    <w:rsid w:val="009361E2"/>
    <w:rsid w:val="009B5221"/>
    <w:rsid w:val="009E795A"/>
    <w:rsid w:val="00A012E0"/>
    <w:rsid w:val="00A2067D"/>
    <w:rsid w:val="00AB77ED"/>
    <w:rsid w:val="00AE112B"/>
    <w:rsid w:val="00BA0456"/>
    <w:rsid w:val="00C536D1"/>
    <w:rsid w:val="00CF7063"/>
    <w:rsid w:val="00F306A9"/>
    <w:rsid w:val="00F35787"/>
    <w:rsid w:val="00F4739A"/>
    <w:rsid w:val="00F81F16"/>
    <w:rsid w:val="376E256F"/>
    <w:rsid w:val="4C7D3346"/>
    <w:rsid w:val="4FA62E4B"/>
    <w:rsid w:val="5C45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autoSpaceDE w:val="0"/>
      <w:autoSpaceDN w:val="0"/>
      <w:spacing w:before="49"/>
      <w:ind w:left="474" w:right="47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1"/>
    <w:rPr>
      <w:rFonts w:ascii="黑体" w:hAnsi="黑体" w:eastAsia="黑体" w:cs="黑体"/>
      <w:kern w:val="0"/>
      <w:sz w:val="36"/>
      <w:szCs w:val="36"/>
      <w:lang w:val="zh-CN" w:bidi="zh-CN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Body text|1"/>
    <w:basedOn w:val="1"/>
    <w:qFormat/>
    <w:uiPriority w:val="0"/>
    <w:pPr>
      <w:spacing w:line="379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21ACE-3F79-49D3-90DF-66083B33A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185</Words>
  <Characters>1056</Characters>
  <Lines>8</Lines>
  <Paragraphs>2</Paragraphs>
  <TotalTime>14</TotalTime>
  <ScaleCrop>false</ScaleCrop>
  <LinksUpToDate>false</LinksUpToDate>
  <CharactersWithSpaces>1239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2020-02-24T12:07:00Z</dcterms:created>
  <dc:creator>China</dc:creator>
  <cp:lastModifiedBy>Merlin</cp:lastModifiedBy>
  <cp:lastPrinted>2020-02-24T12:23:00Z</cp:lastPrinted>
  <dcterms:modified xsi:type="dcterms:W3CDTF">2020-05-25T09:16:04Z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